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05C4C">
      <w:pPr>
        <w:jc w:val="center"/>
        <w:rPr>
          <w:rFonts w:hint="eastAsia" w:ascii="仿宋" w:hAnsi="仿宋" w:eastAsia="仿宋" w:cs="仿宋"/>
          <w:sz w:val="32"/>
          <w:szCs w:val="40"/>
        </w:rPr>
      </w:pPr>
      <w:bookmarkStart w:id="0" w:name="_GoBack"/>
      <w:r>
        <w:rPr>
          <w:rFonts w:hint="eastAsia" w:ascii="仿宋" w:hAnsi="仿宋" w:eastAsia="仿宋" w:cs="仿宋"/>
          <w:sz w:val="32"/>
          <w:szCs w:val="40"/>
        </w:rPr>
        <w:t>新疆师范大学2024-2025年度冰鲜鸡肉类采购项目</w:t>
      </w:r>
    </w:p>
    <w:p w14:paraId="621E935F">
      <w:pPr>
        <w:jc w:val="center"/>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情况说明</w:t>
      </w:r>
    </w:p>
    <w:bookmarkEnd w:id="0"/>
    <w:p w14:paraId="3691B37B">
      <w:pPr>
        <w:numPr>
          <w:ilvl w:val="0"/>
          <w:numId w:val="1"/>
        </w:numPr>
        <w:jc w:val="left"/>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事实依据</w:t>
      </w:r>
    </w:p>
    <w:p w14:paraId="48DFDB08">
      <w:pPr>
        <w:numPr>
          <w:numId w:val="0"/>
        </w:numPr>
        <w:jc w:val="left"/>
        <w:rPr>
          <w:rFonts w:hint="default" w:ascii="仿宋" w:hAnsi="仿宋" w:eastAsia="仿宋" w:cs="仿宋"/>
          <w:sz w:val="28"/>
          <w:szCs w:val="36"/>
          <w:lang w:val="en-US" w:eastAsia="zh-CN"/>
        </w:rPr>
      </w:pPr>
      <w:r>
        <w:rPr>
          <w:rFonts w:hint="default" w:ascii="仿宋" w:hAnsi="仿宋" w:eastAsia="仿宋" w:cs="仿宋"/>
          <w:sz w:val="28"/>
          <w:szCs w:val="36"/>
          <w:lang w:val="en-US" w:eastAsia="zh-CN"/>
        </w:rPr>
        <w:drawing>
          <wp:anchor distT="0" distB="0" distL="114300" distR="114300" simplePos="0" relativeHeight="251659264" behindDoc="0" locked="0" layoutInCell="1" allowOverlap="1">
            <wp:simplePos x="0" y="0"/>
            <wp:positionH relativeFrom="column">
              <wp:posOffset>-868045</wp:posOffset>
            </wp:positionH>
            <wp:positionV relativeFrom="paragraph">
              <wp:posOffset>909955</wp:posOffset>
            </wp:positionV>
            <wp:extent cx="7131050" cy="2004060"/>
            <wp:effectExtent l="0" t="0" r="12700" b="15240"/>
            <wp:wrapSquare wrapText="bothSides"/>
            <wp:docPr id="1" name="图片 1" descr="1726194873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6194873819"/>
                    <pic:cNvPicPr>
                      <a:picLocks noChangeAspect="1"/>
                    </pic:cNvPicPr>
                  </pic:nvPicPr>
                  <pic:blipFill>
                    <a:blip r:embed="rId4"/>
                    <a:stretch>
                      <a:fillRect/>
                    </a:stretch>
                  </pic:blipFill>
                  <pic:spPr>
                    <a:xfrm>
                      <a:off x="0" y="0"/>
                      <a:ext cx="7131050" cy="2004060"/>
                    </a:xfrm>
                    <a:prstGeom prst="rect">
                      <a:avLst/>
                    </a:prstGeom>
                  </pic:spPr>
                </pic:pic>
              </a:graphicData>
            </a:graphic>
          </wp:anchor>
        </w:drawing>
      </w:r>
      <w:r>
        <w:rPr>
          <w:rFonts w:hint="eastAsia" w:ascii="仿宋" w:hAnsi="仿宋" w:eastAsia="仿宋" w:cs="仿宋"/>
          <w:sz w:val="28"/>
          <w:szCs w:val="36"/>
          <w:lang w:val="en-US" w:eastAsia="zh-CN"/>
        </w:rPr>
        <w:t>评标委员会评审错误，</w:t>
      </w:r>
      <w:r>
        <w:rPr>
          <w:rFonts w:hint="default" w:ascii="仿宋" w:hAnsi="仿宋" w:eastAsia="仿宋" w:cs="仿宋"/>
          <w:sz w:val="28"/>
          <w:szCs w:val="36"/>
          <w:lang w:val="en-US" w:eastAsia="zh-CN"/>
        </w:rPr>
        <w:t>新疆久利汇通商贸有限公司符合性审查</w:t>
      </w:r>
      <w:r>
        <w:rPr>
          <w:rFonts w:hint="eastAsia" w:ascii="仿宋" w:hAnsi="仿宋" w:eastAsia="仿宋" w:cs="仿宋"/>
          <w:sz w:val="28"/>
          <w:szCs w:val="36"/>
          <w:lang w:val="en-US" w:eastAsia="zh-CN"/>
        </w:rPr>
        <w:t>中法人代表未签字，其供应商投标文件中法人代表签字齐全。</w:t>
      </w:r>
    </w:p>
    <w:p w14:paraId="106205AC">
      <w:pPr>
        <w:jc w:val="center"/>
        <w:rPr>
          <w:rFonts w:hint="eastAsia" w:ascii="仿宋" w:hAnsi="仿宋" w:eastAsia="仿宋" w:cs="仿宋"/>
          <w:sz w:val="32"/>
          <w:szCs w:val="40"/>
          <w:lang w:val="en-US" w:eastAsia="zh-CN"/>
        </w:rPr>
      </w:pPr>
    </w:p>
    <w:p w14:paraId="7183B62A">
      <w:pPr>
        <w:numPr>
          <w:ilvl w:val="0"/>
          <w:numId w:val="1"/>
        </w:numPr>
        <w:jc w:val="left"/>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法律依据</w:t>
      </w:r>
    </w:p>
    <w:p w14:paraId="2BE0EC99">
      <w:pPr>
        <w:numPr>
          <w:ilvl w:val="0"/>
          <w:numId w:val="0"/>
        </w:numPr>
        <w:jc w:val="left"/>
        <w:rPr>
          <w:rFonts w:hint="default" w:ascii="仿宋" w:hAnsi="仿宋" w:eastAsia="仿宋" w:cs="仿宋"/>
          <w:sz w:val="28"/>
          <w:szCs w:val="36"/>
          <w:lang w:val="en-US" w:eastAsia="zh-CN"/>
        </w:rPr>
      </w:pPr>
      <w:r>
        <w:rPr>
          <w:rFonts w:hint="eastAsia" w:ascii="仿宋" w:hAnsi="仿宋" w:eastAsia="仿宋" w:cs="仿宋"/>
          <w:sz w:val="28"/>
          <w:szCs w:val="36"/>
          <w:lang w:val="en-US" w:eastAsia="zh-CN"/>
        </w:rPr>
        <w:t>根据《</w:t>
      </w:r>
      <w:r>
        <w:rPr>
          <w:rFonts w:hint="default" w:ascii="仿宋" w:hAnsi="仿宋" w:eastAsia="仿宋" w:cs="仿宋"/>
          <w:sz w:val="28"/>
          <w:szCs w:val="36"/>
          <w:lang w:val="en-US" w:eastAsia="zh-CN"/>
        </w:rPr>
        <w:t>中华人民共和国政府采购法</w:t>
      </w:r>
      <w:r>
        <w:rPr>
          <w:rFonts w:hint="eastAsia" w:ascii="仿宋" w:hAnsi="仿宋" w:eastAsia="仿宋" w:cs="仿宋"/>
          <w:sz w:val="28"/>
          <w:szCs w:val="36"/>
          <w:lang w:val="en-US" w:eastAsia="zh-CN"/>
        </w:rPr>
        <w:t>》</w:t>
      </w:r>
    </w:p>
    <w:p w14:paraId="1C0AA1FF">
      <w:pPr>
        <w:numPr>
          <w:ilvl w:val="0"/>
          <w:numId w:val="0"/>
        </w:numPr>
        <w:jc w:val="left"/>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第三十六条 在招标采购中，出现下列情形之一的，应予废标：</w:t>
      </w:r>
    </w:p>
    <w:p w14:paraId="1C585A50">
      <w:pPr>
        <w:numPr>
          <w:ilvl w:val="0"/>
          <w:numId w:val="0"/>
        </w:numPr>
        <w:jc w:val="left"/>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（一）符合专业条件的供货商或者对招标文件作实质响应的供货商不足三家的；</w:t>
      </w:r>
    </w:p>
    <w:p w14:paraId="5FC46059">
      <w:pPr>
        <w:numPr>
          <w:ilvl w:val="0"/>
          <w:numId w:val="0"/>
        </w:numPr>
        <w:jc w:val="left"/>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（二）出现影响采购公正的违法、违规行为的；</w:t>
      </w:r>
    </w:p>
    <w:p w14:paraId="01CDB2CE">
      <w:pPr>
        <w:numPr>
          <w:ilvl w:val="0"/>
          <w:numId w:val="0"/>
        </w:numPr>
        <w:jc w:val="left"/>
        <w:rPr>
          <w:rFonts w:hint="default" w:ascii="仿宋" w:hAnsi="仿宋" w:eastAsia="仿宋" w:cs="仿宋"/>
          <w:sz w:val="28"/>
          <w:szCs w:val="36"/>
          <w:lang w:val="en-US" w:eastAsia="zh-CN"/>
        </w:rPr>
      </w:pPr>
      <w:r>
        <w:rPr>
          <w:rFonts w:hint="eastAsia" w:ascii="仿宋" w:hAnsi="仿宋" w:eastAsia="仿宋" w:cs="仿宋"/>
          <w:sz w:val="28"/>
          <w:szCs w:val="36"/>
          <w:lang w:val="en-US" w:eastAsia="zh-CN"/>
        </w:rPr>
        <w:t>（三）投标人的报价均超过了采购预算，采购人不能支付的；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17B97"/>
    <w:multiLevelType w:val="singleLevel"/>
    <w:tmpl w:val="BCC17B9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OWNkMzg2YzU4OWQwZTI3NzJmZTE5MTg5ZjcyZGMifQ=="/>
  </w:docVars>
  <w:rsids>
    <w:rsidRoot w:val="33200B9A"/>
    <w:rsid w:val="33200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2024-09-13T02:27:00Z</dcterms:created>
  <dc:creator>Z</dc:creator>
  <cp:lastModifiedBy>Z</cp:lastModifiedBy>
  <dcterms:modified xsi:type="dcterms:W3CDTF">2024-09-13T02:55:38Z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CA5CA9C3A6D84EFB987631C41CA3D83B_11</vt:lpwstr>
  </property>
</Properties>
</file>